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16" w:rsidRPr="00360CBD" w:rsidRDefault="00A51D35" w:rsidP="00864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Квартальный отчет за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864332" w:rsidRPr="00360CBD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="00457016" w:rsidRPr="00360CBD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квартал </w:t>
      </w:r>
      <w:r w:rsidR="00457016" w:rsidRPr="00360CBD">
        <w:rPr>
          <w:rFonts w:ascii="Times New Roman" w:hAnsi="Times New Roman"/>
          <w:b/>
          <w:sz w:val="24"/>
          <w:szCs w:val="24"/>
        </w:rPr>
        <w:t>2021 г.</w:t>
      </w:r>
    </w:p>
    <w:p w:rsidR="00457016" w:rsidRPr="00360CBD" w:rsidRDefault="00457016" w:rsidP="0086433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0CBD">
        <w:rPr>
          <w:rFonts w:ascii="Times New Roman" w:hAnsi="Times New Roman"/>
          <w:b/>
          <w:sz w:val="24"/>
          <w:szCs w:val="24"/>
        </w:rPr>
        <w:t>Кафедры экономической теории и социальной работы</w:t>
      </w:r>
    </w:p>
    <w:tbl>
      <w:tblPr>
        <w:tblpPr w:leftFromText="180" w:rightFromText="180" w:vertAnchor="page" w:horzAnchor="margin" w:tblpY="236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553"/>
        <w:gridCol w:w="3967"/>
      </w:tblGrid>
      <w:tr w:rsidR="00457016" w:rsidRPr="00360CBD" w:rsidTr="00457016">
        <w:tc>
          <w:tcPr>
            <w:tcW w:w="3114" w:type="dxa"/>
            <w:vMerge w:val="restart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415873" w:rsidRPr="00360CBD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33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967" w:type="dxa"/>
          </w:tcPr>
          <w:p w:rsidR="001A3F97" w:rsidRDefault="006602BF" w:rsidP="00654F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E90E0E">
              <w:rPr>
                <w:rFonts w:ascii="Times New Roman" w:hAnsi="Times New Roman" w:cs="Times New Roman"/>
                <w:sz w:val="24"/>
                <w:szCs w:val="24"/>
              </w:rPr>
              <w:t>Нуртдинов</w:t>
            </w:r>
            <w:proofErr w:type="spellEnd"/>
            <w:r w:rsidR="00E90E0E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  <w:r w:rsidR="005F4582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таможенных органов в соответствии с общей стратегией развития ВЭД РФ // Интернет-журнал «Отдых и ресурсы», 20214, № 4 Том 8</w:t>
            </w:r>
            <w:r w:rsidR="00AE78AB" w:rsidRPr="00AE78AB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AE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="00AE78AB" w:rsidRPr="00AE78AB">
              <w:rPr>
                <w:rFonts w:ascii="Times New Roman" w:hAnsi="Times New Roman" w:cs="Times New Roman"/>
                <w:sz w:val="24"/>
                <w:szCs w:val="24"/>
              </w:rPr>
              <w:t xml:space="preserve"> 2500-0659</w:t>
            </w:r>
          </w:p>
          <w:p w:rsidR="006602BF" w:rsidRPr="006E3E85" w:rsidRDefault="006602BF" w:rsidP="00654F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Рыбасова Ю.Ю., </w:t>
            </w:r>
            <w:proofErr w:type="spellStart"/>
            <w:r w:rsidRPr="0066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Pr="0066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 Использование игровых технологий в процессе подготовки профессионала социальной работы // Казанский педагогический журнал. 2021. № 4 (147). С. 94–100.</w:t>
            </w: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7" w:type="dxa"/>
          </w:tcPr>
          <w:p w:rsidR="00457016" w:rsidRPr="00282C0A" w:rsidRDefault="00282C0A" w:rsidP="00282C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Гинсбург М.В., Зиннатуллина И.И. Исследование эффективности технологии профессионального обучения и дополнительного профессионального образования занятого населения (на примере граждан </w:t>
            </w:r>
            <w:proofErr w:type="spellStart"/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возраста) // Сборник статей участников конкурсов научно-исследовательских работ студентов 30 лет развития социальной работы в России. Российский государственный социальный университет. 2021. – С. 149-154.</w:t>
            </w:r>
          </w:p>
          <w:p w:rsidR="00282C0A" w:rsidRPr="00282C0A" w:rsidRDefault="00282C0A" w:rsidP="00282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Гинсбург М.В., Зиннатуллина И.И. Реализация в республике </w:t>
            </w:r>
            <w:proofErr w:type="spellStart"/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</w:t>
            </w:r>
            <w:proofErr w:type="spellEnd"/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комплексного подхода к оказанию услуг в области содействия занятости населения, исходя из «жизненных и бизнес-ситуаций» гражданина и работодателя // Формы и методы </w:t>
            </w:r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социальной работы в различных сферах жизнедеятельности: материалы X Международной научно-практической конференции (23-24 сентября 2021 г.), посвященной 30- </w:t>
            </w:r>
            <w:proofErr w:type="spellStart"/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28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работы в России / отв. ред. Ю.Ю. Шурыгина. – Улан-Удэ: Изд-во ВСГУТУ, 2021. – С. 79-81.</w:t>
            </w:r>
          </w:p>
        </w:tc>
      </w:tr>
      <w:tr w:rsidR="00457016" w:rsidRPr="00E940B6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967" w:type="dxa"/>
          </w:tcPr>
          <w:p w:rsidR="00457016" w:rsidRDefault="00264FB4" w:rsidP="00654F82">
            <w:pPr>
              <w:shd w:val="clear" w:color="auto" w:fill="FCFCFC"/>
              <w:spacing w:after="120" w:line="240" w:lineRule="auto"/>
              <w:jc w:val="both"/>
              <w:outlineLvl w:val="0"/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</w:pPr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eastAsia="ru-RU"/>
              </w:rPr>
              <w:t>И</w:t>
            </w:r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eastAsia="ru-RU"/>
              </w:rPr>
              <w:t>И</w:t>
            </w:r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eastAsia="ru-RU"/>
              </w:rPr>
              <w:t>Игнатьев</w:t>
            </w:r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eastAsia="ru-RU"/>
              </w:rPr>
              <w:t>В</w:t>
            </w:r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eastAsia="ru-RU"/>
              </w:rPr>
              <w:t>Г</w:t>
            </w:r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-US" w:eastAsia="ru-RU"/>
              </w:rPr>
              <w:t xml:space="preserve">. </w:t>
            </w:r>
            <w:r w:rsidRPr="00264FB4"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" w:eastAsia="ru-RU"/>
              </w:rPr>
              <w:t>Typology of Regions by Structural-Investment Type and Economic Dynamics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kern w:val="36"/>
                <w:sz w:val="24"/>
                <w:szCs w:val="24"/>
                <w:lang w:val="en" w:eastAsia="ru-RU"/>
              </w:rPr>
              <w:t xml:space="preserve"> </w:t>
            </w:r>
            <w:r w:rsidRPr="00264FB4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CFCFC"/>
                <w:lang w:val="en-US"/>
              </w:rPr>
              <w:t xml:space="preserve">04 December 2021 </w:t>
            </w:r>
            <w:r w:rsidRPr="00264FB4">
              <w:rPr>
                <w:rStyle w:val="affiliationnam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Kazan State Medical University</w:t>
            </w:r>
            <w:r>
              <w:rPr>
                <w:rStyle w:val="affiliationnam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Pr="00264FB4">
              <w:rPr>
                <w:rStyle w:val="affiliationcit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Kazan</w:t>
            </w:r>
            <w:r>
              <w:rPr>
                <w:rStyle w:val="affiliationcit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Pr="00264FB4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Russia</w:t>
            </w:r>
          </w:p>
          <w:p w:rsidR="007E21CA" w:rsidRPr="007E21CA" w:rsidRDefault="006E3E85" w:rsidP="00654F82">
            <w:pPr>
              <w:shd w:val="clear" w:color="auto" w:fill="FCFCFC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2</w:t>
            </w:r>
            <w:r w:rsidR="000C104F" w:rsidRP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. </w:t>
            </w:r>
            <w:proofErr w:type="spellStart"/>
            <w:r w:rsid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Нуртдинов</w:t>
            </w:r>
            <w:proofErr w:type="spellEnd"/>
            <w:r w:rsidR="000C104F" w:rsidRP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И</w:t>
            </w:r>
            <w:r w:rsidR="000C104F" w:rsidRP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r w:rsid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И</w:t>
            </w:r>
            <w:r w:rsidR="000C104F" w:rsidRP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r w:rsidRPr="006E3E85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, </w:t>
            </w:r>
            <w:r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Игнатьев</w:t>
            </w:r>
            <w:r w:rsidRP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В</w:t>
            </w:r>
            <w:r w:rsidRP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r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Г</w:t>
            </w:r>
            <w:r w:rsidRP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r w:rsidR="000C104F" w:rsidRP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="000C104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A comparative analysis of the methods used to assess borrower creditwort</w:t>
            </w:r>
            <w:r w:rsidR="00A13930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hiness // F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rontier Information Technology and Systems, Research in Cooperative Economics.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Сер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. «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Studies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in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Systems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,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Decision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and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Control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»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Heidelberg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, 2021. </w:t>
            </w:r>
            <w:r w:rsidR="007E21CA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C</w:t>
            </w:r>
            <w:r w:rsidR="007E21CA" w:rsidRPr="006602BF">
              <w:rPr>
                <w:rStyle w:val="affiliationcountry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. 991-999.</w:t>
            </w:r>
          </w:p>
        </w:tc>
      </w:tr>
      <w:tr w:rsidR="00457016" w:rsidRPr="00360CBD" w:rsidTr="00864332">
        <w:trPr>
          <w:trHeight w:val="1288"/>
        </w:trPr>
        <w:tc>
          <w:tcPr>
            <w:tcW w:w="3114" w:type="dxa"/>
            <w:vMerge/>
          </w:tcPr>
          <w:p w:rsidR="00457016" w:rsidRPr="007E21CA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6602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21CA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proofErr w:type="spellEnd"/>
            <w:r w:rsidRPr="006602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6602BF">
              <w:rPr>
                <w:rFonts w:ascii="Times New Roman" w:hAnsi="Times New Roman"/>
                <w:sz w:val="24"/>
                <w:szCs w:val="24"/>
              </w:rPr>
              <w:t>-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66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статьи; ссылка на статью; DOI;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3967" w:type="dxa"/>
          </w:tcPr>
          <w:p w:rsidR="00457016" w:rsidRPr="00752BAC" w:rsidRDefault="00E71D35" w:rsidP="006156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Рыбасова Ю.Ю.,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Э.Н., Сысоев Ф.П. Индивидуальная программа реабилитации и абилитации; сущность и механизм формирования // Образование и эпоха: педагогические,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сихологические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социально-философские и медицинские теории и опыт /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Ахметшина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Беловицкая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Измайлова А.Б., Игнатова Е.А., Клименко О.Е.,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Колтакова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В.С.,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Курейчик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В.М., Лукьянов Г.И., Носова О.И., Писаренко В.И., Писаренко И.В.,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Пиче-оол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Потехина Н.В., Рыбасова Ю.Ю.,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Сильченкова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Сухоруких А.В., Сысоев Ф.П.,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Чаговцев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 и др. / монография / под общ. ред. В. И. Писаренко ; отв. ред. О. И. Кириков, А. В. Сухоруких. </w:t>
            </w:r>
            <w:proofErr w:type="gram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 ;</w:t>
            </w:r>
            <w:proofErr w:type="gram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Москва, 2021. Том Книга 22. 181 с. (С. 144–152). Тираж 200 экз., УПЛ 12,81.</w:t>
            </w:r>
          </w:p>
          <w:p w:rsidR="00D75B72" w:rsidRPr="00752BAC" w:rsidRDefault="00D75B72" w:rsidP="006156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D35" w:rsidRPr="00752BAC" w:rsidRDefault="00D75B72" w:rsidP="006156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C9D" w:rsidRPr="00752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Нуртдинов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Э.Н., Игнатьев В.Г.,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 «Школа ухода» в комплексном центре социального обслуживания населения как модель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стационарозамещающей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// Научные исследования: образовательно-инновационные, экономические, педагогические и юридические технологии и практика /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Бекижева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Далингер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Ж.А., Ершова И.Г., Игнатьев В.Г., Каракулина К.Н.,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Кропочева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Т.Б.,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Лыгина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Лукьянов Г.И., Малахова Э.А., Михайлова А.Е.,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Нуртдинов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Панцева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Прадун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Пьянова Н.В., Сафонов А.А., Синева М.В., Сухоруких А.В., </w:t>
            </w:r>
            <w:proofErr w:type="spellStart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Телигисова</w:t>
            </w:r>
            <w:proofErr w:type="spellEnd"/>
            <w:r w:rsidR="00230C9D"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 и др. / монография / под общей ред. проф. С.Г. Емельянова; отв. ред. проф. О.И. Кириков; доц. А.В. Сухоруких. Воронеж; Москва, 2021. Том Книга 71. 188 с. (С. 88–96). Тираж 200 экз., УПЛ 15,31.</w:t>
            </w:r>
          </w:p>
          <w:p w:rsidR="00D75B72" w:rsidRPr="00752BAC" w:rsidRDefault="00752BAC" w:rsidP="006156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Ихсанова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М.Н., Рыбасова Ю.Ю.,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 Бедность как фактор социальной напряженности // Научные исследования: педагогические, исторические,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-управленческие и экономические технологии (информация, анализ, прогноз) / Арсеньева Г.В.,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Ашмаров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Бабыкина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К.Г.,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Бекижева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Гостунская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Я.И., Гришин А.А., Ершова И.Г.,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Ихсанова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М.Н., Каракулина К.Н.,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Неминущая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Рыбасова Ю.Ю., Сухоруких А.В.,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Трущелева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А.В.,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Воронеж; Москва, 2021. Том Книга 70. 131 с. (С. 46–56). Тираж 200 экз., УПЛ 14,44.</w:t>
            </w:r>
          </w:p>
          <w:p w:rsidR="00271FB2" w:rsidRPr="005A552C" w:rsidRDefault="00752BAC" w:rsidP="005A55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Нуртдинов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Э.Н., Игнатьев В.Г., Сафиуллина Р.Н. Государственная социальная помощь как основа социального контракта // Образование и эпоха: социально-философские, педагогические и медицинские теории и опыт / Алюшина А.А., Ананьина Л.Г.,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Ахметшина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Балакирева Н.А.,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Борисова М.И.,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Брекина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Гареев Р.М.,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Дворникова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Девятилова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Ершова И.Г., Игнатьев В.Г., Измайлова А.Б.,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Катунина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Лосева А.А., Мусаева З.А.,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Мушников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Д.Л., </w:t>
            </w:r>
            <w:proofErr w:type="spellStart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Нуртдинов</w:t>
            </w:r>
            <w:proofErr w:type="spellEnd"/>
            <w:r w:rsidRPr="0075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И.И., Озерова С.А., Поляков Б.А. и др. Воронеж; Москва, 2021. Том Книга 21. 169 с. (С. 109–116). Тираж 200 экз., УПЛ 11,78.</w:t>
            </w:r>
          </w:p>
        </w:tc>
      </w:tr>
      <w:tr w:rsidR="00457016" w:rsidRPr="00360CBD" w:rsidTr="00457016">
        <w:tc>
          <w:tcPr>
            <w:tcW w:w="3114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3967" w:type="dxa"/>
          </w:tcPr>
          <w:p w:rsidR="00457016" w:rsidRPr="00454E08" w:rsidRDefault="00A066E6" w:rsidP="00B00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1. Максимова М.Н. Социально-медицинские услуги в реализации комплексных программ и проектов в области охраны здоровья в рамках национального проекта «Демография» в Республики Татарстан //Медико-социальная работа: теория, технологии, образование: материалы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 с международным участием (25 марта 2021 года, Москва) отв. ред. А.В. Мартыненко. – М.: </w:t>
            </w:r>
            <w:proofErr w:type="spellStart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Либри</w:t>
            </w:r>
            <w:proofErr w:type="spellEnd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Плюс, 2921. – 283 с. (С. 125– 130).</w:t>
            </w:r>
          </w:p>
          <w:p w:rsidR="003D5B8D" w:rsidRPr="00454E08" w:rsidRDefault="003D5B8D" w:rsidP="00B00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A066E6" w:rsidRPr="00454E08" w:rsidRDefault="00A066E6" w:rsidP="00B00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2. </w:t>
            </w:r>
            <w:r w:rsidR="003D5B8D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Максимова М.Н. Анализ состава социальных пакетов долговременного ухода субъектов Российской Федерации, участвующих в реализации системы долговременного</w:t>
            </w:r>
            <w:r w:rsidR="00EE22E1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ухода</w:t>
            </w:r>
            <w:r w:rsidR="003D5B8D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EE22E1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(на примере Республике Татарстан, Ульяновской и Самарской областей)</w:t>
            </w:r>
            <w:r w:rsidR="002521C8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//</w:t>
            </w:r>
            <w:r w:rsidR="00EE22E1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Всероссийский научный форум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студентов и учащихся: сборник статей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 (30 сентября 2021 г.). В 4-х частях. Часть 2. – Петрозаводск: МЦНП «Новая наука», 2021. – 230 с.: ил. – Коллектив авторов.</w:t>
            </w:r>
            <w:r w:rsidR="002521C8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С. (</w:t>
            </w:r>
            <w:r w:rsidR="00A3069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26-34</w:t>
            </w:r>
            <w:r w:rsidR="002521C8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="00A3069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:rsidR="002521C8" w:rsidRPr="00454E08" w:rsidRDefault="002521C8" w:rsidP="00B00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DA6C3A" w:rsidRPr="00454E08" w:rsidRDefault="002521C8" w:rsidP="00B00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3. Максимова М.Н. Система долговременного ухода за гражданами пожилого возраста и инвалидами в Республике Татарстан // Формы и методы социальной работы в различных сферах жизнедеятельности: материалы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Международной научно-практической конференции (23-24 сентября 2021 г.), посвященной 30-летию социальной работы в России / отв. ред. Ю.Ю. Шурыгина. – Улан-Удэ: Изд-во ВСГУТУ, 2021. – 356 с. (С. 178-180)</w:t>
            </w:r>
            <w:r w:rsidR="00A3069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:rsidR="00F1179F" w:rsidRPr="00454E08" w:rsidRDefault="00F1179F" w:rsidP="00B00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DA6C3A" w:rsidRPr="00454E08" w:rsidRDefault="001F6654" w:rsidP="00DA6C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4. </w:t>
            </w:r>
            <w:r w:rsidR="00DA6C3A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Максимова М.Н.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Главнова</w:t>
            </w:r>
            <w:proofErr w:type="spellEnd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Е.И.</w:t>
            </w:r>
            <w:r w:rsidR="00DA6C3A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Проектная деятельность как технология оказания социальных услуг социального ориентированными н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екоммерческими организациями //</w:t>
            </w:r>
            <w:r w:rsidR="00DA6C3A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Формы и методы социальной работы в различных сферах жизнедеятельности: материалы </w:t>
            </w:r>
            <w:r w:rsidR="00DA6C3A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DA6C3A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Международной научно-практической конференции (23-24 сентября 2021 г.), посвященной 30-летию социальной работы в России / отв. ред. Ю.Ю. Шурыгина. – Улан-Удэ: Изд-во ВСГУТУ, 2021. – 356 с. (С. 81-84).</w:t>
            </w:r>
          </w:p>
          <w:p w:rsidR="00DA6C3A" w:rsidRPr="00454E08" w:rsidRDefault="00DA6C3A" w:rsidP="00DA6C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1130F" w:rsidRPr="00454E08" w:rsidRDefault="001F6654" w:rsidP="00211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Максимова М.Н.</w:t>
            </w:r>
            <w:r w:rsidR="0021130F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Данилова Д.Е. Технология оказания государственной социальной помощи на основании социального контракта (на примере административных районов г. Казани) // Формы и методы социальной работы в различных сферах жизнедеятельности: материалы </w:t>
            </w:r>
            <w:r w:rsidR="0021130F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21130F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Международной научно-практической конференции (23-24 сентября 2021 г.), </w:t>
            </w:r>
            <w:r w:rsidR="0021130F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посвященной 30-летию социальной работы в России / отв. ред. Ю.Ю. Шурыгина. – Улан-Удэ: Изд-во ВСГУТУ, 2021. – 356 с. (С. 98-100).</w:t>
            </w:r>
          </w:p>
          <w:p w:rsidR="00DA6C3A" w:rsidRPr="00454E08" w:rsidRDefault="00DA6C3A" w:rsidP="00B0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7C5" w:rsidRPr="00454E08" w:rsidRDefault="007A37C5" w:rsidP="007A3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Морозова О.Н., Данилова Д.Е., Кузнецова В.М. Особенности </w:t>
            </w:r>
            <w:proofErr w:type="spellStart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проведеня</w:t>
            </w:r>
            <w:proofErr w:type="spellEnd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медико-социальной экспертизы у детей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//Медико-социальная работа: теория, технологии, образование: материалы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 с международным участием (25 марта 2021 года, Москва) отв. ред. А.В. Мартыненко. – М.: </w:t>
            </w:r>
            <w:proofErr w:type="spellStart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Либри</w:t>
            </w:r>
            <w:proofErr w:type="spellEnd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</w:t>
            </w:r>
            <w:r w:rsidR="00C55E54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люс, 2921. – 283 с. (С. 135– 138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).</w:t>
            </w:r>
          </w:p>
          <w:p w:rsidR="000D65AA" w:rsidRPr="00454E08" w:rsidRDefault="000D65AA" w:rsidP="007A3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C55E54" w:rsidRPr="00454E08" w:rsidRDefault="000D65AA" w:rsidP="00C55E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7. Морозова О.Н., Сафиуллина Н.Н. Анализ развития ранней помощи в Республике Татарстан на примере долгосрочной программы благотворительного фонда «Звезда»</w:t>
            </w:r>
            <w:r w:rsidR="00C55E54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– «Центр ранней помощи «Уверенность»» //Медико-социальная работа: теория, технологии, образование: материалы </w:t>
            </w:r>
            <w:r w:rsidR="00C55E54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C55E54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 с международным участием (25 марта 2021 года, Москва) отв. ред. А.В. Мартыненко. – М.: </w:t>
            </w:r>
            <w:proofErr w:type="spellStart"/>
            <w:r w:rsidR="00C55E54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Либри</w:t>
            </w:r>
            <w:proofErr w:type="spellEnd"/>
            <w:r w:rsidR="00C55E54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Плюс, 2921. – 283 с. (С. 139– 144).</w:t>
            </w:r>
          </w:p>
          <w:p w:rsidR="000D65AA" w:rsidRPr="00454E08" w:rsidRDefault="000D65AA" w:rsidP="007A3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7A37C5" w:rsidRPr="00454E08" w:rsidRDefault="009B1220" w:rsidP="00410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Гимадеева</w:t>
            </w:r>
            <w:proofErr w:type="spellEnd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Реализация </w:t>
            </w:r>
            <w:proofErr w:type="spellStart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стационарозамещающей</w:t>
            </w:r>
            <w:proofErr w:type="spellEnd"/>
            <w:r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«Сиделка» в Республике Татарстан</w:t>
            </w:r>
            <w:r w:rsidR="00410822" w:rsidRPr="0045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82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//Медико-социальная работа: теория, технологии, образование: материалы </w:t>
            </w:r>
            <w:r w:rsidR="0041082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41082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 с международным участием (25 марта 2021 года, Москва) отв. ред. А.В. Мартыненко. – М.: </w:t>
            </w:r>
            <w:proofErr w:type="spellStart"/>
            <w:r w:rsidR="0041082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Либри</w:t>
            </w:r>
            <w:proofErr w:type="spellEnd"/>
            <w:r w:rsidR="0041082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Плюс, 2921. – 283 с. (С. 72</w:t>
            </w:r>
            <w:r w:rsidR="00254A7F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41082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– 77).</w:t>
            </w:r>
          </w:p>
          <w:p w:rsidR="00190441" w:rsidRPr="00454E08" w:rsidRDefault="00190441" w:rsidP="00410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190441" w:rsidRPr="00454E08" w:rsidRDefault="00190441" w:rsidP="00410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Утеева</w:t>
            </w:r>
            <w:proofErr w:type="spellEnd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Э.Н., Рыбасова Ю.Ю. Организация форм культурно-досуговой деятельности для пожилых граждан, проживающих в городе Казани Республики 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Татарстан // Старшее поколение современной России (13-14 октября 2021 г.) Международная научно-практическая конференция / под общей редакцией проф. З.Х. </w:t>
            </w:r>
            <w:proofErr w:type="spellStart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Саралиевой</w:t>
            </w:r>
            <w:proofErr w:type="spellEnd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– Н. Новгород: Нижегородский госуниверситет им. Лобачевского, 2021. – 779 с. (С. </w:t>
            </w:r>
            <w:r w:rsidR="00254A7F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747 – 751</w:t>
            </w: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="00254A7F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:rsidR="002C68D9" w:rsidRPr="00454E08" w:rsidRDefault="002C68D9" w:rsidP="00410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564A99" w:rsidRPr="00454E08" w:rsidRDefault="00BF1A0A" w:rsidP="0056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</w:t>
            </w:r>
            <w:r w:rsidR="00564A99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Максимова М.Н., Кузнецова В.М. Технологии связи с общественностью с пожилыми </w:t>
            </w:r>
            <w:r w:rsidR="00951BA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гражданами в клиентских службах отделения пенсионного фонда России по Республике Татарстан </w:t>
            </w:r>
            <w:r w:rsidR="00564A99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// Старшее поколение современной России (13-14 октября 2021 г.) Международная научно-практическая конференция / под общей редакцией проф. З.Х. </w:t>
            </w:r>
            <w:proofErr w:type="spellStart"/>
            <w:r w:rsidR="00564A99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Саралиевой</w:t>
            </w:r>
            <w:proofErr w:type="spellEnd"/>
            <w:r w:rsidR="00564A99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– Н. Новгород: Нижегородский госуниверситет им. Лобачевского, 2021. – 779 с. (С. </w:t>
            </w:r>
            <w:r w:rsidR="00951BA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272 – 275</w:t>
            </w:r>
            <w:r w:rsidR="00564A99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).</w:t>
            </w:r>
          </w:p>
          <w:p w:rsidR="00564A99" w:rsidRPr="00454E08" w:rsidRDefault="00564A99" w:rsidP="002C6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D25B21" w:rsidRPr="00454E08" w:rsidRDefault="00BF1A0A" w:rsidP="002C6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</w:t>
            </w:r>
            <w:r w:rsidR="00D25B21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Морозова О.Н., </w:t>
            </w:r>
            <w:proofErr w:type="spellStart"/>
            <w:r w:rsidR="00D25B21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Зарипова</w:t>
            </w:r>
            <w:proofErr w:type="spellEnd"/>
            <w:r w:rsidR="00D25B21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О.Н. Приемная семья для пожилого человека как инновационная технология социальной работы // </w:t>
            </w:r>
          </w:p>
          <w:p w:rsidR="00D25B21" w:rsidRPr="00454E08" w:rsidRDefault="00D25B21" w:rsidP="00D25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Старшее поколение современной России (13-14 октября 2021 г.) Международная научно-практическая конференция / под общей редакцией проф. З.Х. </w:t>
            </w:r>
            <w:proofErr w:type="spellStart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Саралиевой</w:t>
            </w:r>
            <w:proofErr w:type="spellEnd"/>
            <w:r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– Н. Новгород: Нижегородский госуниверситет им. Лобачевского, 2021. – 779 с. (С. 649 – 652).</w:t>
            </w:r>
          </w:p>
          <w:p w:rsidR="002C68D9" w:rsidRPr="00454E08" w:rsidRDefault="002C68D9" w:rsidP="00410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D25B21" w:rsidRDefault="00BF1A0A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</w:t>
            </w:r>
            <w:r w:rsidR="00D25B21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="000C372C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Гинсбург М.В., Зиннатуллина И.И. Реализация комплексного подхода к оказанию услуг в </w:t>
            </w:r>
            <w:r w:rsidR="0003545B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области</w:t>
            </w:r>
            <w:r w:rsidR="000C372C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содействия занятости населения в кадровом центре «Работа в России» г. </w:t>
            </w:r>
            <w:r w:rsidR="0003545B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Набережные Челны // Старшее поколение современной России (13-14 октября 2021 г.) Международная научно-практическая конференция / под общей редакцией проф. З.Х. </w:t>
            </w:r>
            <w:proofErr w:type="spellStart"/>
            <w:r w:rsidR="0003545B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Саралиевой</w:t>
            </w:r>
            <w:proofErr w:type="spellEnd"/>
            <w:r w:rsidR="0003545B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– Н. Новгород: Нижегородский госуниверситет им. </w:t>
            </w:r>
            <w:r w:rsidR="0003545B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Лобачевского, 2021. – 779 с. (С. 308 – 311).</w:t>
            </w:r>
          </w:p>
          <w:p w:rsidR="00BF1A0A" w:rsidRPr="00454E08" w:rsidRDefault="00BF1A0A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71FB2" w:rsidRDefault="00BF1A0A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</w:t>
            </w:r>
            <w:r w:rsidR="00271FB2" w:rsidRPr="00454E0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Зарипова</w:t>
            </w:r>
            <w:proofErr w:type="spellEnd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 Приемная семья как новая </w:t>
            </w:r>
            <w:proofErr w:type="spellStart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стационарзаменяющая</w:t>
            </w:r>
            <w:proofErr w:type="spellEnd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технология: изучение общественного мнения // 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</w:t>
            </w:r>
            <w:proofErr w:type="spellStart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Студенцовой</w:t>
            </w:r>
            <w:proofErr w:type="spellEnd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Сборник статей по итогам конференции. Казань, 2021. С. 590–591. (научный руководитель – Э.Н. </w:t>
            </w:r>
            <w:proofErr w:type="spellStart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="00271FB2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F1A0A" w:rsidRPr="00454E08" w:rsidRDefault="00BF1A0A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E08" w:rsidRPr="00454E08" w:rsidRDefault="00BF1A0A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Данилова Д.Е., Кузнецова В.М. Перспективы занятости граждан пожилого возраста в условиях социально-демографического старения населения / в сборнике: Научный потенциал молодежных исследований / сборник статей V Международной научно-практической конференции. Петрозаводск, 2021. С. 491–496. (научный руководитель – Э.Н. </w:t>
            </w:r>
            <w:proofErr w:type="spellStart"/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454E08" w:rsidRDefault="005F55DB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Гимадиева</w:t>
            </w:r>
            <w:proofErr w:type="spellEnd"/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Р.Р., </w:t>
            </w:r>
            <w:proofErr w:type="spellStart"/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="00454E08" w:rsidRPr="0045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 Реализация технологии «приёмная семья для пожилого человека» / в сборнике: Социальные и гуманитарные науки в условиях вызовов современности / Материалы Всероссийской научной конференции. Комсомольск-на-Амуре, 2021. С. 10–14.</w:t>
            </w:r>
          </w:p>
          <w:p w:rsidR="00BF1A0A" w:rsidRDefault="00BF1A0A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A" w:rsidRDefault="005F55DB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Утеева Э.Н. Участие в форуме о цифровой трансформации в образовании, бизнесе и </w:t>
            </w:r>
            <w:proofErr w:type="spellStart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госуправлении</w:t>
            </w:r>
            <w:proofErr w:type="spellEnd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«DIGITAL INNOPLIS DAYS 2021», г. </w:t>
            </w:r>
            <w:proofErr w:type="spellStart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(2–4 декабря 2021 г.) Рыбасова Ю.Ю., Сафина Г.Р., </w:t>
            </w:r>
            <w:proofErr w:type="spellStart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Утеева</w:t>
            </w:r>
            <w:proofErr w:type="spellEnd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 Межведомственное взаимодействие при проведении реабилитационных мероприятий // Человек и общество (философия, педагогика и экономика): XXI век // Материалы международной научной </w:t>
            </w:r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(заочной) конференции, 26 июня 2021 г. – Выпуск 69–70. – Воронеж: ВГПУ; М.: Наука: </w:t>
            </w:r>
            <w:proofErr w:type="spellStart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="00BF1A0A" w:rsidRPr="00BF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– 147 с. (С. 82–83)</w:t>
            </w:r>
          </w:p>
          <w:p w:rsidR="00CE6B97" w:rsidRDefault="00CE6B97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B97" w:rsidRPr="00BF1A0A" w:rsidRDefault="00CE6B97" w:rsidP="00974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proofErr w:type="spellStart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Шаяхмедова</w:t>
            </w:r>
            <w:proofErr w:type="spellEnd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А.Р., Гинсбург М.В. Экономические и социальные аспекты трудоустройства инвалидов трудоспособного возраста // Всероссийская научно-практическая конференция «</w:t>
            </w:r>
            <w:proofErr w:type="spellStart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Нугаевские</w:t>
            </w:r>
            <w:proofErr w:type="spellEnd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чтения». – 6-7 декабря 2021 года. </w:t>
            </w:r>
            <w:proofErr w:type="spellStart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Шаяхмедова</w:t>
            </w:r>
            <w:proofErr w:type="spellEnd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А.Р., Гинсбург М.В. Проблемы трудоустройства инвалидов молодого возраста // Международная научно-практическая </w:t>
            </w:r>
            <w:proofErr w:type="spellStart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 w:rsidRPr="00C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-конференция «Вопросы социальной безопасности в исследованиях молодых учёных». – 17декабря 2021 года (сборник выйдет 2022 годом).</w:t>
            </w: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="00980F1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 </w:t>
            </w:r>
          </w:p>
        </w:tc>
        <w:tc>
          <w:tcPr>
            <w:tcW w:w="3967" w:type="dxa"/>
          </w:tcPr>
          <w:p w:rsidR="00F55E51" w:rsidRPr="000B0B08" w:rsidRDefault="00F55E51" w:rsidP="00BF1A0A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 w:rsidRPr="00360CBD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="008C137D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="008C137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2021г. </w:t>
            </w:r>
            <w:r w:rsidRPr="00360CBD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360C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0CBD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7016" w:rsidRPr="00360CBD" w:rsidTr="00457016">
        <w:trPr>
          <w:trHeight w:val="445"/>
        </w:trPr>
        <w:tc>
          <w:tcPr>
            <w:tcW w:w="3114" w:type="dxa"/>
            <w:vMerge w:val="restart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8496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года, </w:t>
            </w:r>
            <w:r w:rsidRPr="00360C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A51D3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 (с указанием ссылки на указ, постановление и т</w:t>
            </w:r>
            <w:r w:rsidR="00A51D35" w:rsidRPr="00A51D35">
              <w:rPr>
                <w:rFonts w:ascii="Times New Roman" w:hAnsi="Times New Roman"/>
                <w:sz w:val="24"/>
                <w:szCs w:val="24"/>
              </w:rPr>
              <w:t>.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д</w:t>
            </w:r>
            <w:r w:rsidR="00A51D35" w:rsidRPr="00A51D35">
              <w:rPr>
                <w:rFonts w:ascii="Times New Roman" w:hAnsi="Times New Roman"/>
                <w:sz w:val="24"/>
                <w:szCs w:val="24"/>
              </w:rPr>
              <w:t>.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I</w:t>
            </w:r>
            <w:r w:rsidR="00A51D3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</w:t>
            </w:r>
            <w:r w:rsidR="00A51D35" w:rsidRPr="00A51D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A51D35" w:rsidRPr="00A51D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51D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кв. 2021г.</w:t>
            </w:r>
          </w:p>
        </w:tc>
        <w:tc>
          <w:tcPr>
            <w:tcW w:w="3967" w:type="dxa"/>
          </w:tcPr>
          <w:p w:rsidR="00457016" w:rsidRPr="00360CBD" w:rsidRDefault="00457016" w:rsidP="00465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</w:t>
            </w:r>
            <w:r w:rsidR="00A83DFB" w:rsidRPr="00360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3DFB" w:rsidRPr="00360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 (различного уровня)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и другие достижения, награды кафедры (сотрудников кафедр)</w:t>
            </w:r>
            <w:r w:rsidR="00A83DFB"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51D3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967" w:type="dxa"/>
          </w:tcPr>
          <w:p w:rsidR="00457016" w:rsidRPr="00E70324" w:rsidRDefault="00E70324" w:rsidP="00E70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Утеева</w:t>
            </w:r>
            <w:proofErr w:type="spellEnd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 в рамках форума «</w:t>
            </w:r>
            <w:proofErr w:type="spellStart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Innopolis</w:t>
            </w:r>
            <w:proofErr w:type="spellEnd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Days</w:t>
            </w:r>
            <w:proofErr w:type="spellEnd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2021», </w:t>
            </w:r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посвященного цифровой трансформации приоритетных отраслей экономики удостоена премии «DID </w:t>
            </w:r>
            <w:proofErr w:type="spellStart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Awards</w:t>
            </w:r>
            <w:proofErr w:type="spellEnd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премия Опорного образовательного центра». (г. </w:t>
            </w:r>
            <w:proofErr w:type="spellStart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Университет </w:t>
            </w:r>
            <w:proofErr w:type="spellStart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E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2–4 декабря 2021 г.)</w:t>
            </w: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51D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кв. 2021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r w:rsidR="00A83DFB" w:rsidRPr="00360CBD">
              <w:rPr>
                <w:rFonts w:ascii="Times New Roman" w:hAnsi="Times New Roman"/>
                <w:bCs/>
                <w:sz w:val="24"/>
                <w:szCs w:val="24"/>
              </w:rPr>
              <w:t>рубежом)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51D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кв. 2021 года (заказчик, название, краткое описание заказа, сроки реализации, стоимость)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Участвуют</w:t>
            </w:r>
            <w:r w:rsidR="00A51D35">
              <w:rPr>
                <w:rFonts w:ascii="Times New Roman" w:hAnsi="Times New Roman"/>
                <w:sz w:val="24"/>
                <w:szCs w:val="24"/>
              </w:rPr>
              <w:t xml:space="preserve"> сотрудники Вашей кафедры в ред.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A51D35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кафедры, состоящие в руководящих и консультативных органах международных научных обществ и </w:t>
            </w:r>
            <w:r w:rsidR="00457016" w:rsidRPr="00360CBD">
              <w:rPr>
                <w:rFonts w:ascii="Times New Roman" w:hAnsi="Times New Roman"/>
                <w:bCs/>
                <w:sz w:val="24"/>
                <w:szCs w:val="24"/>
              </w:rPr>
              <w:t>объединений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зам. председателя, секретарь, член совета))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016" w:rsidRPr="00360CBD" w:rsidRDefault="00457016" w:rsidP="00457016">
      <w:pPr>
        <w:ind w:firstLine="708"/>
        <w:rPr>
          <w:rFonts w:ascii="Times New Roman" w:hAnsi="Times New Roman"/>
          <w:sz w:val="24"/>
          <w:szCs w:val="24"/>
        </w:rPr>
      </w:pPr>
    </w:p>
    <w:p w:rsidR="00B00EB2" w:rsidRPr="00864332" w:rsidRDefault="00B00EB2" w:rsidP="00457016">
      <w:pPr>
        <w:ind w:firstLine="708"/>
        <w:rPr>
          <w:rFonts w:ascii="Times New Roman" w:hAnsi="Times New Roman"/>
          <w:sz w:val="24"/>
          <w:szCs w:val="24"/>
        </w:rPr>
      </w:pPr>
    </w:p>
    <w:p w:rsidR="00B00EB2" w:rsidRPr="00864332" w:rsidRDefault="00B00EB2" w:rsidP="00457016">
      <w:pPr>
        <w:ind w:firstLine="708"/>
        <w:rPr>
          <w:rFonts w:ascii="Times New Roman" w:hAnsi="Times New Roman"/>
          <w:sz w:val="24"/>
          <w:szCs w:val="24"/>
        </w:rPr>
      </w:pPr>
    </w:p>
    <w:p w:rsidR="00457016" w:rsidRPr="00864332" w:rsidRDefault="00457016" w:rsidP="00B00EB2">
      <w:pPr>
        <w:spacing w:after="0"/>
        <w:rPr>
          <w:rFonts w:ascii="Times New Roman" w:hAnsi="Times New Roman"/>
          <w:sz w:val="24"/>
          <w:szCs w:val="24"/>
          <w:lang w:val="tt-RU"/>
        </w:rPr>
      </w:pPr>
      <w:r w:rsidRPr="00864332">
        <w:rPr>
          <w:rFonts w:ascii="Times New Roman" w:hAnsi="Times New Roman"/>
          <w:sz w:val="24"/>
          <w:szCs w:val="24"/>
          <w:lang w:val="tt-RU"/>
        </w:rPr>
        <w:t xml:space="preserve">Зав. кафедрой экономической теории </w:t>
      </w:r>
    </w:p>
    <w:p w:rsidR="007F5E5E" w:rsidRPr="00864332" w:rsidRDefault="00457016" w:rsidP="00B00EB2">
      <w:pPr>
        <w:rPr>
          <w:rFonts w:ascii="Times New Roman" w:hAnsi="Times New Roman" w:cs="Times New Roman"/>
          <w:sz w:val="24"/>
          <w:szCs w:val="24"/>
        </w:rPr>
      </w:pPr>
      <w:r w:rsidRPr="00864332">
        <w:rPr>
          <w:rFonts w:ascii="Times New Roman" w:hAnsi="Times New Roman"/>
          <w:sz w:val="24"/>
          <w:szCs w:val="24"/>
          <w:lang w:val="tt-RU"/>
        </w:rPr>
        <w:t>и социальной работы, д. экон. н., доцент</w:t>
      </w:r>
      <w:r w:rsidRPr="00864332">
        <w:rPr>
          <w:rFonts w:ascii="Times New Roman" w:hAnsi="Times New Roman"/>
          <w:sz w:val="24"/>
          <w:szCs w:val="24"/>
          <w:lang w:val="tt-RU"/>
        </w:rPr>
        <w:tab/>
      </w:r>
      <w:r w:rsidR="00B00EB2" w:rsidRPr="00864332">
        <w:rPr>
          <w:rFonts w:ascii="Times New Roman" w:hAnsi="Times New Roman"/>
          <w:sz w:val="24"/>
          <w:szCs w:val="24"/>
        </w:rPr>
        <w:t xml:space="preserve">                       </w:t>
      </w:r>
      <w:r w:rsidR="00864332">
        <w:rPr>
          <w:rFonts w:ascii="Times New Roman" w:hAnsi="Times New Roman"/>
          <w:sz w:val="24"/>
          <w:szCs w:val="24"/>
        </w:rPr>
        <w:t xml:space="preserve">                         </w:t>
      </w:r>
      <w:r w:rsidR="00B00EB2" w:rsidRPr="00864332">
        <w:rPr>
          <w:rFonts w:ascii="Times New Roman" w:hAnsi="Times New Roman"/>
          <w:sz w:val="24"/>
          <w:szCs w:val="24"/>
        </w:rPr>
        <w:t xml:space="preserve">  </w:t>
      </w:r>
      <w:r w:rsidRPr="00864332">
        <w:rPr>
          <w:rFonts w:ascii="Times New Roman" w:hAnsi="Times New Roman"/>
          <w:sz w:val="24"/>
          <w:szCs w:val="24"/>
          <w:lang w:val="tt-RU"/>
        </w:rPr>
        <w:t>М.Н.</w:t>
      </w:r>
      <w:r w:rsidR="00B00EB2" w:rsidRPr="00864332">
        <w:rPr>
          <w:rFonts w:ascii="Times New Roman" w:hAnsi="Times New Roman"/>
          <w:sz w:val="24"/>
          <w:szCs w:val="24"/>
        </w:rPr>
        <w:t xml:space="preserve"> Максимова</w:t>
      </w:r>
    </w:p>
    <w:sectPr w:rsidR="007F5E5E" w:rsidRPr="00864332" w:rsidSect="00A764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6D" w:rsidRDefault="00032D6D" w:rsidP="00A76489">
      <w:pPr>
        <w:spacing w:after="0" w:line="240" w:lineRule="auto"/>
      </w:pPr>
      <w:r>
        <w:separator/>
      </w:r>
    </w:p>
  </w:endnote>
  <w:endnote w:type="continuationSeparator" w:id="0">
    <w:p w:rsidR="00032D6D" w:rsidRDefault="00032D6D" w:rsidP="00A7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6D" w:rsidRDefault="00032D6D" w:rsidP="00A76489">
      <w:pPr>
        <w:spacing w:after="0" w:line="240" w:lineRule="auto"/>
      </w:pPr>
      <w:r>
        <w:separator/>
      </w:r>
    </w:p>
  </w:footnote>
  <w:footnote w:type="continuationSeparator" w:id="0">
    <w:p w:rsidR="00032D6D" w:rsidRDefault="00032D6D" w:rsidP="00A7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370157"/>
      <w:docPartObj>
        <w:docPartGallery w:val="Page Numbers (Top of Page)"/>
        <w:docPartUnique/>
      </w:docPartObj>
    </w:sdtPr>
    <w:sdtEndPr/>
    <w:sdtContent>
      <w:p w:rsidR="00A76489" w:rsidRDefault="00A764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0E">
          <w:rPr>
            <w:noProof/>
          </w:rPr>
          <w:t>10</w:t>
        </w:r>
        <w:r>
          <w:fldChar w:fldCharType="end"/>
        </w:r>
      </w:p>
    </w:sdtContent>
  </w:sdt>
  <w:p w:rsidR="00A76489" w:rsidRDefault="00A764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D"/>
    <w:rsid w:val="00032D6D"/>
    <w:rsid w:val="0003545B"/>
    <w:rsid w:val="0007610D"/>
    <w:rsid w:val="00082A21"/>
    <w:rsid w:val="000B0B08"/>
    <w:rsid w:val="000C104F"/>
    <w:rsid w:val="000C372C"/>
    <w:rsid w:val="000D65AA"/>
    <w:rsid w:val="00190441"/>
    <w:rsid w:val="001A3F97"/>
    <w:rsid w:val="001A693D"/>
    <w:rsid w:val="001F6654"/>
    <w:rsid w:val="0021130F"/>
    <w:rsid w:val="00230C9D"/>
    <w:rsid w:val="002521C8"/>
    <w:rsid w:val="00254A7F"/>
    <w:rsid w:val="00264FB4"/>
    <w:rsid w:val="00267768"/>
    <w:rsid w:val="00271FB2"/>
    <w:rsid w:val="00282C0A"/>
    <w:rsid w:val="00294EA3"/>
    <w:rsid w:val="002A5829"/>
    <w:rsid w:val="002C68D9"/>
    <w:rsid w:val="002E379F"/>
    <w:rsid w:val="00360CBD"/>
    <w:rsid w:val="00384966"/>
    <w:rsid w:val="003D5B8D"/>
    <w:rsid w:val="003D5BFC"/>
    <w:rsid w:val="00410822"/>
    <w:rsid w:val="00415873"/>
    <w:rsid w:val="00454E08"/>
    <w:rsid w:val="004552F3"/>
    <w:rsid w:val="00457016"/>
    <w:rsid w:val="00465B00"/>
    <w:rsid w:val="004B20A4"/>
    <w:rsid w:val="004F6035"/>
    <w:rsid w:val="00552F67"/>
    <w:rsid w:val="0055637B"/>
    <w:rsid w:val="00564A99"/>
    <w:rsid w:val="00577397"/>
    <w:rsid w:val="005A552C"/>
    <w:rsid w:val="005D1F56"/>
    <w:rsid w:val="005F4582"/>
    <w:rsid w:val="005F55DB"/>
    <w:rsid w:val="006156A9"/>
    <w:rsid w:val="006533DE"/>
    <w:rsid w:val="00654F82"/>
    <w:rsid w:val="006602BF"/>
    <w:rsid w:val="00686D3D"/>
    <w:rsid w:val="006E3E85"/>
    <w:rsid w:val="00752BAC"/>
    <w:rsid w:val="00784F49"/>
    <w:rsid w:val="007A37C5"/>
    <w:rsid w:val="007E21CA"/>
    <w:rsid w:val="007F5E5E"/>
    <w:rsid w:val="00822E0E"/>
    <w:rsid w:val="00864332"/>
    <w:rsid w:val="008C137D"/>
    <w:rsid w:val="008D5158"/>
    <w:rsid w:val="00951BA2"/>
    <w:rsid w:val="009743F7"/>
    <w:rsid w:val="00980F18"/>
    <w:rsid w:val="009B1220"/>
    <w:rsid w:val="009E19FE"/>
    <w:rsid w:val="009F47E3"/>
    <w:rsid w:val="00A066E6"/>
    <w:rsid w:val="00A13930"/>
    <w:rsid w:val="00A30692"/>
    <w:rsid w:val="00A51D35"/>
    <w:rsid w:val="00A76489"/>
    <w:rsid w:val="00A83DFB"/>
    <w:rsid w:val="00AB0647"/>
    <w:rsid w:val="00AE78AB"/>
    <w:rsid w:val="00B00EB2"/>
    <w:rsid w:val="00BE0FD4"/>
    <w:rsid w:val="00BF1A0A"/>
    <w:rsid w:val="00C55E54"/>
    <w:rsid w:val="00CA10BC"/>
    <w:rsid w:val="00CE380F"/>
    <w:rsid w:val="00CE6B97"/>
    <w:rsid w:val="00D023F2"/>
    <w:rsid w:val="00D25B21"/>
    <w:rsid w:val="00D75B72"/>
    <w:rsid w:val="00DA6C3A"/>
    <w:rsid w:val="00DB1A9E"/>
    <w:rsid w:val="00E61EF6"/>
    <w:rsid w:val="00E70324"/>
    <w:rsid w:val="00E71D35"/>
    <w:rsid w:val="00E90E0E"/>
    <w:rsid w:val="00E940B6"/>
    <w:rsid w:val="00EE22E1"/>
    <w:rsid w:val="00F1179F"/>
    <w:rsid w:val="00F55E51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E065"/>
  <w15:chartTrackingRefBased/>
  <w15:docId w15:val="{B04E4725-EAE4-4CB7-98E8-AF981FB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489"/>
  </w:style>
  <w:style w:type="paragraph" w:styleId="a7">
    <w:name w:val="footer"/>
    <w:basedOn w:val="a"/>
    <w:link w:val="a8"/>
    <w:uiPriority w:val="99"/>
    <w:unhideWhenUsed/>
    <w:rsid w:val="00A7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489"/>
  </w:style>
  <w:style w:type="character" w:customStyle="1" w:styleId="affiliationname">
    <w:name w:val="affiliation__name"/>
    <w:basedOn w:val="a0"/>
    <w:rsid w:val="00264FB4"/>
  </w:style>
  <w:style w:type="character" w:customStyle="1" w:styleId="affiliationcity">
    <w:name w:val="affiliation__city"/>
    <w:basedOn w:val="a0"/>
    <w:rsid w:val="00264FB4"/>
  </w:style>
  <w:style w:type="character" w:customStyle="1" w:styleId="affiliationcountry">
    <w:name w:val="affiliation__country"/>
    <w:basedOn w:val="a0"/>
    <w:rsid w:val="00264FB4"/>
  </w:style>
  <w:style w:type="paragraph" w:styleId="a9">
    <w:name w:val="Normal (Web)"/>
    <w:basedOn w:val="a"/>
    <w:uiPriority w:val="99"/>
    <w:unhideWhenUsed/>
    <w:rsid w:val="00F5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00F2-F824-4630-BAA8-43483475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2021-12-22T08:10:00Z</cp:lastPrinted>
  <dcterms:created xsi:type="dcterms:W3CDTF">2021-05-25T12:32:00Z</dcterms:created>
  <dcterms:modified xsi:type="dcterms:W3CDTF">2021-12-22T08:16:00Z</dcterms:modified>
</cp:coreProperties>
</file>